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C51" w:rsidRPr="006F276C" w:rsidRDefault="00744C51" w:rsidP="00744C51">
      <w:pPr>
        <w:tabs>
          <w:tab w:val="right" w:pos="9639"/>
        </w:tabs>
        <w:spacing w:after="60"/>
        <w:rPr>
          <w:rFonts w:ascii="Arial" w:eastAsia="MS Mincho" w:hAnsi="Arial"/>
          <w:b/>
        </w:rPr>
      </w:pPr>
      <w:bookmarkStart w:id="0" w:name="OLE_LINK1"/>
      <w:bookmarkStart w:id="1" w:name="OLE_LINK2"/>
      <w:r w:rsidRPr="006F276C">
        <w:rPr>
          <w:rFonts w:ascii="Arial" w:hAnsi="Arial"/>
          <w:b/>
          <w:sz w:val="24"/>
          <w:szCs w:val="24"/>
          <w:lang w:eastAsia="zh-CN"/>
        </w:rPr>
        <w:t xml:space="preserve">3GPP TSG-RAN WG4 Meeting </w:t>
      </w:r>
      <w:r w:rsidRPr="00572E77">
        <w:rPr>
          <w:rFonts w:ascii="Arial" w:hAnsi="Arial"/>
          <w:b/>
          <w:sz w:val="24"/>
          <w:szCs w:val="24"/>
          <w:lang w:eastAsia="zh-CN"/>
        </w:rPr>
        <w:t>#89</w:t>
      </w:r>
      <w:r w:rsidRPr="006F276C">
        <w:rPr>
          <w:rFonts w:ascii="Arial" w:hAnsi="Arial"/>
          <w:b/>
        </w:rPr>
        <w:tab/>
      </w:r>
      <w:r w:rsidRPr="00572E77">
        <w:rPr>
          <w:rFonts w:ascii="Arial" w:hAnsi="Arial"/>
          <w:b/>
          <w:sz w:val="24"/>
          <w:szCs w:val="24"/>
        </w:rPr>
        <w:t>R4-1815257</w:t>
      </w:r>
    </w:p>
    <w:p w:rsidR="00744C51" w:rsidRPr="006F276C" w:rsidRDefault="00744C51" w:rsidP="00744C51">
      <w:pPr>
        <w:rPr>
          <w:rFonts w:ascii="Arial" w:hAnsi="Arial"/>
          <w:b/>
          <w:sz w:val="24"/>
          <w:szCs w:val="24"/>
        </w:rPr>
      </w:pPr>
      <w:r>
        <w:rPr>
          <w:rFonts w:ascii="Arial" w:hAnsi="Arial"/>
          <w:b/>
          <w:sz w:val="24"/>
          <w:szCs w:val="24"/>
        </w:rPr>
        <w:t>Spokane</w:t>
      </w:r>
      <w:r w:rsidRPr="006F276C">
        <w:rPr>
          <w:rFonts w:ascii="Arial" w:hAnsi="Arial"/>
          <w:b/>
          <w:sz w:val="24"/>
          <w:szCs w:val="24"/>
        </w:rPr>
        <w:t>,</w:t>
      </w:r>
      <w:r>
        <w:rPr>
          <w:rFonts w:ascii="Arial" w:hAnsi="Arial"/>
          <w:b/>
          <w:sz w:val="24"/>
          <w:szCs w:val="24"/>
        </w:rPr>
        <w:t xml:space="preserve"> USA,</w:t>
      </w:r>
      <w:r w:rsidRPr="006F276C">
        <w:rPr>
          <w:rFonts w:ascii="Arial" w:hAnsi="Arial"/>
          <w:b/>
          <w:sz w:val="24"/>
          <w:szCs w:val="24"/>
        </w:rPr>
        <w:t xml:space="preserve"> </w:t>
      </w:r>
      <w:r>
        <w:rPr>
          <w:rFonts w:ascii="Arial" w:hAnsi="Arial"/>
          <w:b/>
          <w:sz w:val="24"/>
          <w:szCs w:val="24"/>
        </w:rPr>
        <w:t>12-16 November</w:t>
      </w:r>
      <w:r w:rsidRPr="006F276C">
        <w:rPr>
          <w:rFonts w:ascii="Arial" w:hAnsi="Arial"/>
          <w:b/>
          <w:sz w:val="24"/>
          <w:szCs w:val="24"/>
        </w:rPr>
        <w:t xml:space="preserve"> 2018</w:t>
      </w:r>
    </w:p>
    <w:p w:rsidR="00744C51" w:rsidRPr="006F276C" w:rsidRDefault="00744C51" w:rsidP="00744C51">
      <w:pPr>
        <w:tabs>
          <w:tab w:val="left" w:pos="1800"/>
        </w:tabs>
        <w:spacing w:after="60"/>
        <w:rPr>
          <w:rFonts w:ascii="Arial" w:hAnsi="Arial" w:cs="Arial"/>
          <w:b/>
        </w:rPr>
      </w:pPr>
      <w:r w:rsidRPr="006F276C">
        <w:rPr>
          <w:rFonts w:ascii="Arial" w:hAnsi="Arial" w:cs="Arial"/>
          <w:b/>
        </w:rPr>
        <w:t xml:space="preserve">Source: </w:t>
      </w:r>
      <w:r w:rsidRPr="006F276C">
        <w:rPr>
          <w:rFonts w:ascii="Arial" w:hAnsi="Arial" w:cs="Arial"/>
          <w:b/>
        </w:rPr>
        <w:tab/>
      </w:r>
      <w:r w:rsidRPr="006F276C">
        <w:rPr>
          <w:rFonts w:ascii="Arial" w:hAnsi="Arial" w:cs="Arial"/>
        </w:rPr>
        <w:t>Sony</w:t>
      </w:r>
      <w:r w:rsidRPr="006F276C">
        <w:rPr>
          <w:rFonts w:ascii="Arial" w:hAnsi="Arial" w:cs="Arial"/>
          <w:b/>
        </w:rPr>
        <w:t xml:space="preserve"> </w:t>
      </w:r>
    </w:p>
    <w:p w:rsidR="00744C51" w:rsidRPr="006F276C" w:rsidRDefault="00744C51" w:rsidP="00744C51">
      <w:pPr>
        <w:tabs>
          <w:tab w:val="left" w:pos="1800"/>
        </w:tabs>
        <w:spacing w:after="60"/>
        <w:rPr>
          <w:rFonts w:ascii="Arial" w:hAnsi="Arial" w:cs="Arial"/>
          <w:b/>
        </w:rPr>
      </w:pPr>
      <w:r w:rsidRPr="006F276C">
        <w:rPr>
          <w:rFonts w:ascii="Arial" w:hAnsi="Arial" w:cs="Arial"/>
          <w:b/>
          <w:color w:val="000000"/>
        </w:rPr>
        <w:t>Title:</w:t>
      </w:r>
      <w:r w:rsidRPr="006F276C">
        <w:rPr>
          <w:rFonts w:ascii="Arial" w:hAnsi="Arial" w:cs="Arial"/>
          <w:b/>
          <w:color w:val="000000"/>
        </w:rPr>
        <w:tab/>
      </w:r>
      <w:r w:rsidRPr="006F276C">
        <w:rPr>
          <w:rFonts w:ascii="Arial" w:hAnsi="Arial" w:cs="Arial"/>
          <w:lang w:eastAsia="en-GB"/>
        </w:rPr>
        <w:t xml:space="preserve">MPR for efeMTC </w:t>
      </w:r>
      <w:r>
        <w:rPr>
          <w:rFonts w:ascii="Arial" w:hAnsi="Arial" w:cs="Arial"/>
          <w:lang w:eastAsia="en-GB"/>
        </w:rPr>
        <w:t xml:space="preserve">Power class 5 </w:t>
      </w:r>
      <w:r w:rsidRPr="006F276C">
        <w:rPr>
          <w:rFonts w:ascii="Arial" w:hAnsi="Arial" w:cs="Arial"/>
          <w:lang w:eastAsia="en-GB"/>
        </w:rPr>
        <w:t>sub-PRB transmission</w:t>
      </w:r>
      <w:r w:rsidRPr="006F276C">
        <w:rPr>
          <w:rFonts w:ascii="Arial" w:hAnsi="Arial" w:cs="Arial"/>
          <w:b/>
        </w:rPr>
        <w:t xml:space="preserve"> </w:t>
      </w:r>
    </w:p>
    <w:p w:rsidR="00744C51" w:rsidRPr="006F276C" w:rsidRDefault="00744C51" w:rsidP="00744C51">
      <w:pPr>
        <w:tabs>
          <w:tab w:val="left" w:pos="1800"/>
        </w:tabs>
        <w:spacing w:after="60"/>
        <w:rPr>
          <w:rFonts w:ascii="Arial" w:eastAsia="MS Mincho" w:hAnsi="Arial" w:cs="Arial"/>
        </w:rPr>
      </w:pPr>
      <w:r w:rsidRPr="006F276C">
        <w:rPr>
          <w:rFonts w:ascii="Arial" w:hAnsi="Arial" w:cs="Arial"/>
          <w:b/>
        </w:rPr>
        <w:t>Agenda item:</w:t>
      </w:r>
      <w:r w:rsidRPr="006F276C">
        <w:rPr>
          <w:rFonts w:ascii="Arial" w:hAnsi="Arial" w:cs="Arial"/>
          <w:b/>
        </w:rPr>
        <w:tab/>
      </w:r>
      <w:r w:rsidRPr="00572E77">
        <w:rPr>
          <w:rFonts w:ascii="Arial" w:hAnsi="Arial" w:cs="Arial"/>
        </w:rPr>
        <w:t>6.5.2</w:t>
      </w:r>
    </w:p>
    <w:p w:rsidR="00744C51" w:rsidRPr="00744C51" w:rsidRDefault="00744C51" w:rsidP="00744C51">
      <w:pPr>
        <w:tabs>
          <w:tab w:val="left" w:pos="1800"/>
        </w:tabs>
        <w:spacing w:after="60"/>
        <w:ind w:left="1800" w:hanging="1800"/>
        <w:rPr>
          <w:rFonts w:ascii="Arial" w:hAnsi="Arial" w:cs="Arial"/>
          <w:b/>
        </w:rPr>
      </w:pPr>
      <w:r w:rsidRPr="006F276C">
        <w:rPr>
          <w:rFonts w:ascii="Arial" w:hAnsi="Arial" w:cs="Arial"/>
          <w:b/>
        </w:rPr>
        <w:t>Document for:</w:t>
      </w:r>
      <w:r w:rsidRPr="006F276C">
        <w:rPr>
          <w:rFonts w:ascii="Arial" w:hAnsi="Arial" w:cs="Arial"/>
          <w:b/>
        </w:rPr>
        <w:tab/>
      </w:r>
      <w:r>
        <w:rPr>
          <w:rFonts w:ascii="Arial" w:hAnsi="Arial" w:cs="Arial"/>
        </w:rPr>
        <w:t>Approval</w:t>
      </w:r>
    </w:p>
    <w:p w:rsidR="00744C51" w:rsidRPr="006F276C" w:rsidRDefault="00744C51" w:rsidP="00744C51">
      <w:pPr>
        <w:pStyle w:val="Heading1"/>
        <w:numPr>
          <w:ilvl w:val="0"/>
          <w:numId w:val="1"/>
        </w:numPr>
        <w:rPr>
          <w:lang w:val="en-US"/>
        </w:rPr>
      </w:pPr>
      <w:r w:rsidRPr="006F276C">
        <w:rPr>
          <w:lang w:val="en-US"/>
        </w:rPr>
        <w:t xml:space="preserve">Introduction </w:t>
      </w:r>
    </w:p>
    <w:bookmarkEnd w:id="0"/>
    <w:bookmarkEnd w:id="1"/>
    <w:p w:rsidR="00744C51" w:rsidRDefault="00744C51" w:rsidP="00744C51">
      <w:r>
        <w:t>The Rel-15 specifications for efeMTC support sub-PRB transmission, which includes</w:t>
      </w:r>
      <w:r w:rsidRPr="006F276C">
        <w:t xml:space="preserve"> the options of 6-subcarrier QPSK, 3-subcarrier-QPSK and 2-subcarrier pi/2 BPSK transmission formats. These transmission formats have a lower PAPR than the minimum Release-14 format (12-subcarrier QPSK). The lower PAPR improves the power efficiency of the efeMTC PUSCH transmission</w:t>
      </w:r>
      <w:r>
        <w:t>, allowing higher power transmission for such a sub-PRB waveform</w:t>
      </w:r>
      <w:r w:rsidRPr="006F276C">
        <w:t>.</w:t>
      </w:r>
      <w:r>
        <w:t xml:space="preserve"> </w:t>
      </w:r>
    </w:p>
    <w:p w:rsidR="00744C51" w:rsidRPr="006F276C" w:rsidRDefault="00744C51" w:rsidP="00744C51">
      <w:r>
        <w:t xml:space="preserve">There are currently no MPR specifications for sub-PRB transmission for power class 5 MTC devices in TS36.101 </w:t>
      </w:r>
      <w:r w:rsidRPr="00744C51">
        <w:t>[1</w:t>
      </w:r>
      <w:r>
        <w:t>]</w:t>
      </w:r>
      <w:r w:rsidRPr="006F276C">
        <w:t>.</w:t>
      </w:r>
      <w:r>
        <w:t xml:space="preserve"> Power class 5 devices are of particular interest for MTC as this class of device is well suited to single-chip solutions with an integrated PA. Simulations on realistic PA models indicate that when such devices transmit sub-PRB waveforms, they can achieve SEM masks while transmitting greater than 20dBm. Hence it is proposed to specify MPR values for class 5 MTC devices, allowing transmission at up to 23dBm when sub-PRB waveforms are applied. An accompanying CR is provided in </w:t>
      </w:r>
      <w:r w:rsidR="0071538F">
        <w:t>[</w:t>
      </w:r>
      <w:r w:rsidRPr="00744C51">
        <w:t>2</w:t>
      </w:r>
      <w:r>
        <w:t xml:space="preserve">]. </w:t>
      </w:r>
    </w:p>
    <w:p w:rsidR="00744C51" w:rsidRPr="006F276C" w:rsidRDefault="00744C51" w:rsidP="00744C51">
      <w:pPr>
        <w:pStyle w:val="Heading1"/>
        <w:numPr>
          <w:ilvl w:val="0"/>
          <w:numId w:val="1"/>
        </w:numPr>
        <w:spacing w:after="120"/>
        <w:ind w:left="357" w:hanging="357"/>
        <w:rPr>
          <w:lang w:val="en-US"/>
        </w:rPr>
      </w:pPr>
      <w:r w:rsidRPr="006F276C">
        <w:rPr>
          <w:lang w:val="en-US"/>
        </w:rPr>
        <w:t>MPR</w:t>
      </w:r>
      <w:r>
        <w:rPr>
          <w:lang w:val="en-US"/>
        </w:rPr>
        <w:t xml:space="preserve"> results</w:t>
      </w:r>
    </w:p>
    <w:p w:rsidR="00744C51" w:rsidRDefault="00744C51" w:rsidP="00744C51">
      <w:r>
        <w:t>Simulations were performed on realistic PA models for MTC devices. Since the target for a power class 5 device is a single chip solution, the IQ image rejection and LO leakage are calibrated and the PA is calibrated and biased for operation with the sub-PRB waveform. This is a realistic calibration and biasing method for a power class 5 device operating in a single chip solution.</w:t>
      </w:r>
    </w:p>
    <w:p w:rsidR="00744C51" w:rsidRDefault="00744C51" w:rsidP="00744C51">
      <w:r>
        <w:t xml:space="preserve">Measurements were made of the maximum output power that could be transmitted as a function of the number of tones in the sub-PRB transmission. </w:t>
      </w:r>
      <w:r w:rsidRPr="00450B96">
        <w:t>The sub-PRB transmission occupied the outer edge of the outer narrowband of the LTE carrier:</w:t>
      </w:r>
      <w:r>
        <w:t xml:space="preserve"> this is the worst case for spectral emissions into the adja</w:t>
      </w:r>
      <w:bookmarkStart w:id="2" w:name="_GoBack"/>
      <w:bookmarkEnd w:id="2"/>
      <w:r>
        <w:t xml:space="preserve">cent band. The results are </w:t>
      </w:r>
      <w:r w:rsidR="0071538F">
        <w:t>summarized</w:t>
      </w:r>
      <w:r>
        <w:t xml:space="preserve"> in Table 1. These results were found to be applicable to both Cat-M1 and Cat-M2 devices. </w:t>
      </w:r>
    </w:p>
    <w:p w:rsidR="00744C51" w:rsidRPr="00823DC2" w:rsidRDefault="00744C51" w:rsidP="00744C51">
      <w:pPr>
        <w:pStyle w:val="TH"/>
      </w:pPr>
      <w:r>
        <w:t>Table 1</w:t>
      </w:r>
      <w:r w:rsidRPr="00823DC2">
        <w:t xml:space="preserve">: </w:t>
      </w:r>
      <w:r>
        <w:t xml:space="preserve">Measured </w:t>
      </w:r>
      <w:r w:rsidRPr="00823DC2">
        <w:t>Maximum Power Reduction (MPR) for category M</w:t>
      </w:r>
      <w:r>
        <w:t>1</w:t>
      </w:r>
      <w:r w:rsidRPr="00823DC2">
        <w:t xml:space="preserve"> </w:t>
      </w:r>
      <w:r>
        <w:t xml:space="preserve">and M2 </w:t>
      </w:r>
      <w:r w:rsidRPr="00823DC2">
        <w:t>UE for Power Class 5</w:t>
      </w:r>
      <w:r>
        <w:t xml:space="preserve"> using sub-PRB transmission</w:t>
      </w:r>
    </w:p>
    <w:tbl>
      <w:tblPr>
        <w:tblW w:w="0" w:type="auto"/>
        <w:jc w:val="center"/>
        <w:tblCellMar>
          <w:left w:w="0" w:type="dxa"/>
          <w:right w:w="0" w:type="dxa"/>
        </w:tblCellMar>
        <w:tblLook w:val="04A0" w:firstRow="1" w:lastRow="0" w:firstColumn="1" w:lastColumn="0" w:noHBand="0" w:noVBand="1"/>
      </w:tblPr>
      <w:tblGrid>
        <w:gridCol w:w="2131"/>
        <w:gridCol w:w="1692"/>
        <w:gridCol w:w="2409"/>
      </w:tblGrid>
      <w:tr w:rsidR="00744C51" w:rsidRPr="00823DC2" w:rsidTr="00E33B59">
        <w:trPr>
          <w:trHeight w:val="683"/>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H"/>
              <w:rPr>
                <w:rFonts w:cs="Arial"/>
              </w:rPr>
            </w:pPr>
            <w:r w:rsidRPr="00823DC2">
              <w:rPr>
                <w:rFonts w:cs="Arial"/>
              </w:rPr>
              <w:t>Modulation</w:t>
            </w:r>
            <w:r>
              <w:rPr>
                <w:rFonts w:cs="Arial"/>
              </w:rPr>
              <w:t xml:space="preserve"> / tones</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H"/>
              <w:rPr>
                <w:rFonts w:cs="Arial"/>
              </w:rPr>
            </w:pPr>
            <w:r w:rsidRPr="00823DC2">
              <w:rPr>
                <w:rFonts w:cs="Arial"/>
              </w:rPr>
              <w:t>MPR (dB)</w:t>
            </w:r>
          </w:p>
        </w:tc>
        <w:tc>
          <w:tcPr>
            <w:tcW w:w="2409" w:type="dxa"/>
            <w:tcBorders>
              <w:top w:val="single" w:sz="4" w:space="0" w:color="auto"/>
              <w:left w:val="single" w:sz="4" w:space="0" w:color="auto"/>
              <w:right w:val="single" w:sz="4" w:space="0" w:color="auto"/>
            </w:tcBorders>
          </w:tcPr>
          <w:p w:rsidR="00744C51" w:rsidRPr="00823DC2" w:rsidRDefault="00744C51" w:rsidP="00E33B59">
            <w:pPr>
              <w:pStyle w:val="TAH"/>
              <w:rPr>
                <w:rFonts w:cs="Arial"/>
              </w:rPr>
            </w:pPr>
            <w:r>
              <w:rPr>
                <w:rFonts w:cs="Arial"/>
              </w:rPr>
              <w:t>notes</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2 tones BPSK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 xml:space="preserve"> -3 ≤ MPR ≤ 0dB </w:t>
            </w:r>
          </w:p>
        </w:tc>
        <w:tc>
          <w:tcPr>
            <w:tcW w:w="2409" w:type="dxa"/>
            <w:tcBorders>
              <w:top w:val="single" w:sz="4" w:space="0" w:color="auto"/>
              <w:left w:val="single" w:sz="4" w:space="0" w:color="auto"/>
              <w:bottom w:val="single" w:sz="4" w:space="0" w:color="auto"/>
              <w:right w:val="single" w:sz="4" w:space="0" w:color="auto"/>
            </w:tcBorders>
          </w:tcPr>
          <w:p w:rsidR="00744C51" w:rsidRDefault="00744C51" w:rsidP="00E33B59">
            <w:pPr>
              <w:pStyle w:val="TAC"/>
              <w:rPr>
                <w:rFonts w:cs="Arial"/>
              </w:rPr>
            </w:pPr>
            <w:r>
              <w:rPr>
                <w:rFonts w:cs="Arial"/>
              </w:rPr>
              <w:t>Transmit power = 23dBm</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3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-3 ≤ MPR ≤ 0dB</w:t>
            </w:r>
          </w:p>
        </w:tc>
        <w:tc>
          <w:tcPr>
            <w:tcW w:w="2409" w:type="dxa"/>
            <w:tcBorders>
              <w:top w:val="single" w:sz="4" w:space="0" w:color="auto"/>
              <w:left w:val="single" w:sz="4" w:space="0" w:color="auto"/>
              <w:bottom w:val="single" w:sz="4" w:space="0" w:color="auto"/>
              <w:right w:val="single" w:sz="4" w:space="0" w:color="auto"/>
            </w:tcBorders>
          </w:tcPr>
          <w:p w:rsidR="00744C51" w:rsidRDefault="00744C51" w:rsidP="00E33B59">
            <w:pPr>
              <w:pStyle w:val="TAC"/>
              <w:rPr>
                <w:rFonts w:cs="Arial"/>
              </w:rPr>
            </w:pPr>
            <w:r>
              <w:rPr>
                <w:rFonts w:cs="Arial"/>
              </w:rPr>
              <w:t>Transmit power = 23dBm</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6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-2.5 ≤ MPR ≤ 0dB</w:t>
            </w:r>
          </w:p>
        </w:tc>
        <w:tc>
          <w:tcPr>
            <w:tcW w:w="2409" w:type="dxa"/>
            <w:tcBorders>
              <w:top w:val="single" w:sz="4" w:space="0" w:color="auto"/>
              <w:left w:val="single" w:sz="4" w:space="0" w:color="auto"/>
              <w:bottom w:val="single" w:sz="4" w:space="0" w:color="auto"/>
              <w:right w:val="single" w:sz="4" w:space="0" w:color="auto"/>
            </w:tcBorders>
          </w:tcPr>
          <w:p w:rsidR="00744C51" w:rsidRDefault="00744C51" w:rsidP="00E33B59">
            <w:pPr>
              <w:pStyle w:val="TAC"/>
              <w:rPr>
                <w:rFonts w:cs="Arial"/>
              </w:rPr>
            </w:pPr>
            <w:r>
              <w:rPr>
                <w:rFonts w:cs="Arial"/>
              </w:rPr>
              <w:t>Transmit power = 22.5dBm</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12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0</w:t>
            </w:r>
          </w:p>
        </w:tc>
        <w:tc>
          <w:tcPr>
            <w:tcW w:w="2409" w:type="dxa"/>
            <w:tcBorders>
              <w:top w:val="single" w:sz="4" w:space="0" w:color="auto"/>
              <w:left w:val="single" w:sz="4" w:space="0" w:color="auto"/>
              <w:bottom w:val="single" w:sz="4" w:space="0" w:color="auto"/>
              <w:right w:val="single" w:sz="4" w:space="0" w:color="auto"/>
            </w:tcBorders>
          </w:tcPr>
          <w:p w:rsidR="00744C51" w:rsidRDefault="00744C51" w:rsidP="00E33B59">
            <w:pPr>
              <w:pStyle w:val="TAC"/>
              <w:rPr>
                <w:rFonts w:cs="Arial"/>
              </w:rPr>
            </w:pPr>
            <w:r>
              <w:rPr>
                <w:rFonts w:cs="Arial"/>
              </w:rPr>
              <w:t>Baseline in 36.101</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Default="00744C51" w:rsidP="00E33B59">
            <w:pPr>
              <w:pStyle w:val="TAC"/>
              <w:rPr>
                <w:rFonts w:cs="Arial"/>
              </w:rPr>
            </w:pPr>
            <w:r>
              <w:rPr>
                <w:rFonts w:cs="Arial"/>
              </w:rPr>
              <w:t>72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 2dB</w:t>
            </w:r>
          </w:p>
        </w:tc>
        <w:tc>
          <w:tcPr>
            <w:tcW w:w="2409" w:type="dxa"/>
            <w:tcBorders>
              <w:top w:val="single" w:sz="4" w:space="0" w:color="auto"/>
              <w:left w:val="single" w:sz="4" w:space="0" w:color="auto"/>
              <w:bottom w:val="single" w:sz="4" w:space="0" w:color="auto"/>
              <w:right w:val="single" w:sz="4" w:space="0" w:color="auto"/>
            </w:tcBorders>
          </w:tcPr>
          <w:p w:rsidR="00744C51" w:rsidRDefault="00744C51" w:rsidP="00E33B59">
            <w:pPr>
              <w:pStyle w:val="TAC"/>
              <w:rPr>
                <w:rFonts w:cs="Arial"/>
              </w:rPr>
            </w:pPr>
            <w:r w:rsidRPr="00450B96">
              <w:rPr>
                <w:rFonts w:cs="Arial"/>
              </w:rPr>
              <w:t>Already specified in 36.101</w:t>
            </w:r>
          </w:p>
        </w:tc>
      </w:tr>
    </w:tbl>
    <w:p w:rsidR="00744C51" w:rsidRDefault="00744C51" w:rsidP="00744C51"/>
    <w:p w:rsidR="00744C51" w:rsidRPr="006F276C" w:rsidRDefault="00744C51" w:rsidP="00744C51">
      <w:r>
        <w:lastRenderedPageBreak/>
        <w:t>The results show that the class 5 PA can transmit at more than 20dBm with a sub-PRB waveform. This is best expressed as a negative MPR. The MPR results obtained for multi-RB waveforms (specifically the 72-tone / 6RB waveform) are consistent with those results already specified in TS36.101.</w:t>
      </w:r>
    </w:p>
    <w:p w:rsidR="00744C51" w:rsidRPr="006F276C" w:rsidRDefault="00744C51" w:rsidP="00744C51">
      <w:pPr>
        <w:rPr>
          <w:b/>
        </w:rPr>
      </w:pPr>
      <w:r w:rsidRPr="001E5182">
        <w:rPr>
          <w:b/>
        </w:rPr>
        <w:t xml:space="preserve">Proposal: For a power class 5 Cat-M1 </w:t>
      </w:r>
      <w:r>
        <w:rPr>
          <w:b/>
        </w:rPr>
        <w:t xml:space="preserve">or Cat-M2 </w:t>
      </w:r>
      <w:r w:rsidRPr="001E5182">
        <w:rPr>
          <w:b/>
        </w:rPr>
        <w:t>UE, the values in Table 1 are used to specify the MPR for sub-PRB transmissions.</w:t>
      </w:r>
    </w:p>
    <w:p w:rsidR="00744C51" w:rsidRDefault="00744C51" w:rsidP="00744C51"/>
    <w:p w:rsidR="00744C51" w:rsidRPr="006F276C" w:rsidRDefault="00744C51" w:rsidP="00744C51">
      <w:pPr>
        <w:pStyle w:val="Heading1"/>
        <w:numPr>
          <w:ilvl w:val="0"/>
          <w:numId w:val="1"/>
        </w:numPr>
        <w:spacing w:after="120"/>
        <w:ind w:left="357" w:hanging="357"/>
        <w:rPr>
          <w:lang w:val="en-US"/>
        </w:rPr>
      </w:pPr>
      <w:r>
        <w:rPr>
          <w:lang w:val="en-US"/>
        </w:rPr>
        <w:t>Discussion</w:t>
      </w:r>
    </w:p>
    <w:p w:rsidR="00744C51" w:rsidRDefault="00744C51" w:rsidP="00744C51">
      <w:r>
        <w:t>The simulations that are summarized in Table 1 show that when sub-PRB transmissions are applied, a power class 5 UE can transmit at a higher power than its nominal 20dBm transmit power. Higher transmission power is desirable as it reduces the time required to send the UL data (the received energy per bit is related to the transmit power and transmission time, hence increasing transmit power reduces the transmission time required to achieve the same received energy per bit and hence achieve the same performance). Reducing transmission time directly increases UL spectral efficiency and increases battery lifetime (since the power-consuming overheads needed to operate the chip are required for a shorter time duration). These positive outcomes of transmitting with negative MPR are directly in-line with the work item objectives.</w:t>
      </w:r>
    </w:p>
    <w:p w:rsidR="00744C51" w:rsidRPr="00C45DDA" w:rsidRDefault="00744C51" w:rsidP="00744C51">
      <w:pPr>
        <w:rPr>
          <w:b/>
        </w:rPr>
      </w:pPr>
      <w:r>
        <w:rPr>
          <w:b/>
        </w:rPr>
        <w:t>Observation 1</w:t>
      </w:r>
      <w:r w:rsidRPr="001E5182">
        <w:rPr>
          <w:b/>
        </w:rPr>
        <w:t xml:space="preserve">: </w:t>
      </w:r>
      <w:r>
        <w:rPr>
          <w:b/>
        </w:rPr>
        <w:t>Specifying MPR values for sub-PRB transmission for class-5 efeMTC UEs allow increased UL spectral efficiency and battery lifetime, in-line with the Rel-15 WI objectives</w:t>
      </w:r>
      <w:r w:rsidRPr="001E5182">
        <w:rPr>
          <w:b/>
        </w:rPr>
        <w:t>.</w:t>
      </w:r>
    </w:p>
    <w:p w:rsidR="00744C51" w:rsidRDefault="00744C51" w:rsidP="00744C51">
      <w:r>
        <w:t>The MPR is an allowed maximum power reduction and is hence optional at the UE. Those class 5 UEs that are capable of transmitting at a higher power for sub-PRB transmissions can make use of the negative MPRs and transmit at a higher power. Other class 5 UEs do not need to make use of the available negative MPR.</w:t>
      </w:r>
    </w:p>
    <w:p w:rsidR="00744C51" w:rsidRDefault="00744C51" w:rsidP="00744C51">
      <w:r>
        <w:t>The maximum transmit power of the class 5 UE operating with negative MPR is 23dBm and is hence no higher than the maximum transmit power of a class 3 UE.</w:t>
      </w:r>
    </w:p>
    <w:p w:rsidR="00744C51" w:rsidRDefault="00744C51" w:rsidP="00744C51">
      <w:r>
        <w:t xml:space="preserve">The PUCCH and PRACH operate with 12-tone waveforms. The allowed MPR of Table 1 hence do not apply to these channels. For the traffic models in TR 45.820 </w:t>
      </w:r>
      <w:r w:rsidR="0071538F">
        <w:t>[</w:t>
      </w:r>
      <w:r w:rsidRPr="00744C51">
        <w:t>3</w:t>
      </w:r>
      <w:r>
        <w:t>], the UE is mostly transmitting PUSCH, rather than PUCCH or PRACH. Hence allowing the MPR values of Table 1, which are only applicable to PUSCH, will have the most significant impact on spectrum efficiency and battery lifetime. The repetition-based techniques that have been specified since Rel-13 can be used to provide the necessary performance for PRACH and PUCCH.</w:t>
      </w:r>
    </w:p>
    <w:p w:rsidR="00744C51" w:rsidRPr="00C45DDA" w:rsidRDefault="00744C51" w:rsidP="00744C51">
      <w:pPr>
        <w:rPr>
          <w:b/>
        </w:rPr>
      </w:pPr>
      <w:r>
        <w:rPr>
          <w:b/>
        </w:rPr>
        <w:t>Observation 2</w:t>
      </w:r>
      <w:r w:rsidRPr="001E5182">
        <w:rPr>
          <w:b/>
        </w:rPr>
        <w:t xml:space="preserve">: </w:t>
      </w:r>
      <w:r>
        <w:rPr>
          <w:b/>
        </w:rPr>
        <w:t>Allowing increased PUSCH transmit power, compared to other UL channels, has the greatest effect on overall spectrum efficiency and battery lifetime</w:t>
      </w:r>
      <w:r w:rsidRPr="001E5182">
        <w:rPr>
          <w:b/>
        </w:rPr>
        <w:t>.</w:t>
      </w:r>
    </w:p>
    <w:p w:rsidR="00744C51" w:rsidRPr="006F276C" w:rsidRDefault="00744C51" w:rsidP="00744C51">
      <w:r>
        <w:t xml:space="preserve">       </w:t>
      </w:r>
      <w:r w:rsidRPr="006F276C">
        <w:t xml:space="preserve"> </w:t>
      </w:r>
    </w:p>
    <w:p w:rsidR="00744C51" w:rsidRPr="006F276C" w:rsidRDefault="00744C51" w:rsidP="00744C51">
      <w:pPr>
        <w:pStyle w:val="Heading1"/>
        <w:numPr>
          <w:ilvl w:val="0"/>
          <w:numId w:val="1"/>
        </w:numPr>
        <w:spacing w:after="120"/>
        <w:ind w:left="357" w:hanging="357"/>
        <w:rPr>
          <w:lang w:val="en-US"/>
        </w:rPr>
      </w:pPr>
      <w:r w:rsidRPr="006F276C">
        <w:rPr>
          <w:lang w:val="en-US"/>
        </w:rPr>
        <w:t>Conclusion</w:t>
      </w:r>
    </w:p>
    <w:p w:rsidR="00744C51" w:rsidRDefault="00744C51" w:rsidP="00744C51">
      <w:r>
        <w:t>This document has considered the MPR applicable for sub-PRB transmissions for power class 5 efeMTC devices and proposes that the following table is adopted</w:t>
      </w:r>
      <w:r w:rsidRPr="006F276C">
        <w:t>:</w:t>
      </w:r>
    </w:p>
    <w:tbl>
      <w:tblPr>
        <w:tblW w:w="0" w:type="auto"/>
        <w:jc w:val="center"/>
        <w:tblCellMar>
          <w:left w:w="0" w:type="dxa"/>
          <w:right w:w="0" w:type="dxa"/>
        </w:tblCellMar>
        <w:tblLook w:val="04A0" w:firstRow="1" w:lastRow="0" w:firstColumn="1" w:lastColumn="0" w:noHBand="0" w:noVBand="1"/>
      </w:tblPr>
      <w:tblGrid>
        <w:gridCol w:w="2131"/>
        <w:gridCol w:w="1692"/>
      </w:tblGrid>
      <w:tr w:rsidR="00744C51" w:rsidRPr="00823DC2" w:rsidTr="00E33B59">
        <w:trPr>
          <w:trHeight w:val="683"/>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H"/>
              <w:rPr>
                <w:rFonts w:cs="Arial"/>
              </w:rPr>
            </w:pPr>
            <w:r w:rsidRPr="00823DC2">
              <w:rPr>
                <w:rFonts w:cs="Arial"/>
              </w:rPr>
              <w:lastRenderedPageBreak/>
              <w:t>Modulation</w:t>
            </w:r>
            <w:r>
              <w:rPr>
                <w:rFonts w:cs="Arial"/>
              </w:rPr>
              <w:t xml:space="preserve"> / tones</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H"/>
              <w:rPr>
                <w:rFonts w:cs="Arial"/>
              </w:rPr>
            </w:pPr>
            <w:r w:rsidRPr="00823DC2">
              <w:rPr>
                <w:rFonts w:cs="Arial"/>
              </w:rPr>
              <w:t>MPR (dB)</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2 tones BPSK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 xml:space="preserve"> -3 ≤ MPR ≤ 0dB </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3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-3 ≤ MPR ≤ 0dB</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6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-2.5 ≤ MPR ≤ 0dB</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44C51" w:rsidRPr="00823DC2" w:rsidRDefault="00744C51" w:rsidP="00E33B59">
            <w:pPr>
              <w:pStyle w:val="TAC"/>
              <w:rPr>
                <w:rFonts w:cs="Arial"/>
              </w:rPr>
            </w:pPr>
            <w:r>
              <w:rPr>
                <w:rFonts w:cs="Arial"/>
              </w:rPr>
              <w:t>12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0</w:t>
            </w:r>
          </w:p>
        </w:tc>
      </w:tr>
      <w:tr w:rsidR="00744C51" w:rsidRPr="00823DC2" w:rsidTr="00E33B59">
        <w:trPr>
          <w:jc w:val="center"/>
        </w:trPr>
        <w:tc>
          <w:tcPr>
            <w:tcW w:w="21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Default="00744C51" w:rsidP="00E33B59">
            <w:pPr>
              <w:pStyle w:val="TAC"/>
              <w:rPr>
                <w:rFonts w:cs="Arial"/>
              </w:rPr>
            </w:pPr>
            <w:r>
              <w:rPr>
                <w:rFonts w:cs="Arial"/>
              </w:rPr>
              <w:t>72 tones QPSK</w:t>
            </w:r>
          </w:p>
        </w:tc>
        <w:tc>
          <w:tcPr>
            <w:tcW w:w="1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44C51" w:rsidRPr="00823DC2" w:rsidRDefault="00744C51" w:rsidP="00E33B59">
            <w:pPr>
              <w:pStyle w:val="TAC"/>
              <w:rPr>
                <w:rFonts w:cs="Arial"/>
              </w:rPr>
            </w:pPr>
            <w:r>
              <w:rPr>
                <w:rFonts w:cs="Arial"/>
              </w:rPr>
              <w:t>≤ 2dB</w:t>
            </w:r>
          </w:p>
        </w:tc>
      </w:tr>
    </w:tbl>
    <w:p w:rsidR="00744C51" w:rsidRDefault="00744C51" w:rsidP="00744C51"/>
    <w:p w:rsidR="00744C51" w:rsidRPr="006F276C" w:rsidRDefault="00744C51" w:rsidP="00744C51">
      <w:r>
        <w:t>The following proposals and observations are made:</w:t>
      </w:r>
      <w:r w:rsidRPr="006F276C">
        <w:t xml:space="preserve"> </w:t>
      </w:r>
    </w:p>
    <w:p w:rsidR="00744C51" w:rsidRPr="006F276C" w:rsidRDefault="00744C51" w:rsidP="00744C51">
      <w:pPr>
        <w:rPr>
          <w:b/>
        </w:rPr>
      </w:pPr>
      <w:r w:rsidRPr="001E5182">
        <w:rPr>
          <w:b/>
        </w:rPr>
        <w:t xml:space="preserve">Proposal: For a power class 5 Cat-M1 </w:t>
      </w:r>
      <w:r>
        <w:rPr>
          <w:b/>
        </w:rPr>
        <w:t xml:space="preserve">or Cat-M2 </w:t>
      </w:r>
      <w:r w:rsidRPr="001E5182">
        <w:rPr>
          <w:b/>
        </w:rPr>
        <w:t>UE, the values in Table 1 are used to specify the MPR for sub-PRB transmissions.</w:t>
      </w:r>
    </w:p>
    <w:p w:rsidR="00744C51" w:rsidRPr="00C45DDA" w:rsidRDefault="00744C51" w:rsidP="00744C51">
      <w:pPr>
        <w:rPr>
          <w:b/>
        </w:rPr>
      </w:pPr>
      <w:r>
        <w:rPr>
          <w:b/>
        </w:rPr>
        <w:t>Observation 1</w:t>
      </w:r>
      <w:r w:rsidRPr="001E5182">
        <w:rPr>
          <w:b/>
        </w:rPr>
        <w:t xml:space="preserve">: </w:t>
      </w:r>
      <w:r>
        <w:rPr>
          <w:b/>
        </w:rPr>
        <w:t>Specifying MPR values for sub-PRB transmission for class-5 efeMTC UEs allow increased UL spectral efficiency and battery lifetime, in-line with the Rel-15 WI objectives</w:t>
      </w:r>
      <w:r w:rsidRPr="001E5182">
        <w:rPr>
          <w:b/>
        </w:rPr>
        <w:t>.</w:t>
      </w:r>
    </w:p>
    <w:p w:rsidR="00744C51" w:rsidRPr="00C45DDA" w:rsidRDefault="00744C51" w:rsidP="00744C51">
      <w:pPr>
        <w:rPr>
          <w:b/>
        </w:rPr>
      </w:pPr>
      <w:r>
        <w:rPr>
          <w:b/>
        </w:rPr>
        <w:t>Observation 2</w:t>
      </w:r>
      <w:r w:rsidRPr="001E5182">
        <w:rPr>
          <w:b/>
        </w:rPr>
        <w:t xml:space="preserve">: </w:t>
      </w:r>
      <w:r>
        <w:rPr>
          <w:b/>
        </w:rPr>
        <w:t>Allowing increased PUSCH transmit power, compared to other UL channels, has the greatest effect on overall spectrum efficiency and battery lifetime</w:t>
      </w:r>
      <w:r w:rsidRPr="001E5182">
        <w:rPr>
          <w:b/>
        </w:rPr>
        <w:t>.</w:t>
      </w:r>
    </w:p>
    <w:p w:rsidR="00744C51" w:rsidRPr="006F276C" w:rsidRDefault="00744C51" w:rsidP="00744C51">
      <w:pPr>
        <w:pStyle w:val="Heading1"/>
        <w:numPr>
          <w:ilvl w:val="0"/>
          <w:numId w:val="1"/>
        </w:numPr>
        <w:rPr>
          <w:lang w:val="en-US"/>
        </w:rPr>
      </w:pPr>
      <w:r w:rsidRPr="006F276C">
        <w:rPr>
          <w:lang w:val="en-US"/>
        </w:rPr>
        <w:t>References</w:t>
      </w:r>
    </w:p>
    <w:p w:rsidR="00744C51" w:rsidRPr="006F276C" w:rsidRDefault="00744C51" w:rsidP="00744C51">
      <w:pPr>
        <w:ind w:left="567" w:hanging="567"/>
      </w:pPr>
      <w:r w:rsidRPr="006F276C">
        <w:t>[</w:t>
      </w:r>
      <w:r w:rsidRPr="00744C51">
        <w:t>1]</w:t>
      </w:r>
      <w:r w:rsidRPr="006F276C">
        <w:t xml:space="preserve"> </w:t>
      </w:r>
      <w:r w:rsidRPr="006F276C">
        <w:tab/>
      </w:r>
      <w:r>
        <w:t xml:space="preserve">TS 36.101 v15.4.0 </w:t>
      </w:r>
    </w:p>
    <w:p w:rsidR="00744C51" w:rsidRPr="006F276C" w:rsidRDefault="00744C51" w:rsidP="00744C51">
      <w:pPr>
        <w:ind w:left="567" w:hanging="567"/>
      </w:pPr>
      <w:r w:rsidRPr="00744C51">
        <w:t>[2]</w:t>
      </w:r>
      <w:r w:rsidRPr="006F276C">
        <w:tab/>
        <w:t>R4-18</w:t>
      </w:r>
      <w:r>
        <w:t>15258,</w:t>
      </w:r>
      <w:r w:rsidRPr="006F276C">
        <w:t xml:space="preserve"> </w:t>
      </w:r>
      <w:r>
        <w:t xml:space="preserve">“Draft CR on sub-PRB for power class 5 Cat-M1 and Cat-M2 UEs”, </w:t>
      </w:r>
      <w:r w:rsidRPr="00744C51">
        <w:rPr>
          <w:i/>
        </w:rPr>
        <w:t>Sony</w:t>
      </w:r>
    </w:p>
    <w:p w:rsidR="00E70C98" w:rsidRDefault="00744C51" w:rsidP="00744C51">
      <w:pPr>
        <w:ind w:left="567" w:hanging="567"/>
      </w:pPr>
      <w:r w:rsidRPr="00744C51">
        <w:t>[3]</w:t>
      </w:r>
      <w:r>
        <w:t xml:space="preserve"> </w:t>
      </w:r>
      <w:r>
        <w:tab/>
        <w:t>TR 45.820</w:t>
      </w:r>
    </w:p>
    <w:p w:rsidR="006A7908" w:rsidRDefault="006A7908" w:rsidP="00744C51">
      <w:pPr>
        <w:ind w:left="567" w:hanging="567"/>
      </w:pPr>
      <w:r>
        <w:t>[4]</w:t>
      </w:r>
      <w:r>
        <w:tab/>
      </w:r>
      <w:r w:rsidRPr="006A7908">
        <w:t>R4-1807802</w:t>
      </w:r>
      <w:r>
        <w:t>, “</w:t>
      </w:r>
      <w:r w:rsidRPr="006A7908">
        <w:t>MPR for efeMTC sub-PRB transmission</w:t>
      </w:r>
      <w:r>
        <w:t xml:space="preserve">”, </w:t>
      </w:r>
      <w:r w:rsidRPr="006A7908">
        <w:rPr>
          <w:i/>
        </w:rPr>
        <w:t>Sony</w:t>
      </w:r>
    </w:p>
    <w:sectPr w:rsidR="006A79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23F" w:rsidRDefault="0079723F" w:rsidP="0071538F">
      <w:pPr>
        <w:spacing w:after="0" w:line="240" w:lineRule="auto"/>
      </w:pPr>
      <w:r>
        <w:separator/>
      </w:r>
    </w:p>
  </w:endnote>
  <w:endnote w:type="continuationSeparator" w:id="0">
    <w:p w:rsidR="0079723F" w:rsidRDefault="0079723F" w:rsidP="00715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23F" w:rsidRDefault="0079723F" w:rsidP="0071538F">
      <w:pPr>
        <w:spacing w:after="0" w:line="240" w:lineRule="auto"/>
      </w:pPr>
      <w:r>
        <w:separator/>
      </w:r>
    </w:p>
  </w:footnote>
  <w:footnote w:type="continuationSeparator" w:id="0">
    <w:p w:rsidR="0079723F" w:rsidRDefault="0079723F" w:rsidP="007153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51"/>
    <w:rsid w:val="000C0BE9"/>
    <w:rsid w:val="0026361D"/>
    <w:rsid w:val="00394CF9"/>
    <w:rsid w:val="00450B96"/>
    <w:rsid w:val="006A7908"/>
    <w:rsid w:val="0071538F"/>
    <w:rsid w:val="00744C51"/>
    <w:rsid w:val="0079723F"/>
    <w:rsid w:val="0087433A"/>
    <w:rsid w:val="00E70C9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781EAB2-FF31-49EF-8C1F-53755FB96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C51"/>
    <w:rPr>
      <w:lang w:val="en-US"/>
    </w:rPr>
  </w:style>
  <w:style w:type="paragraph" w:styleId="Heading1">
    <w:name w:val="heading 1"/>
    <w:aliases w:val="H1,h1,NMP Heading 1,h11,h12,h13,h14,h15,h16,app heading 1,l1,Memo Heading 1,Heading 1_a,heading 1,h17,h111,h121,h131,h141,h151,h161,h18,h112,h122,h132,h142,h152,h162,h19,h113,h123,h133,h143,h153,h163,标题 1,Alt+1,Alt+11,Alt+12"/>
    <w:next w:val="Normal"/>
    <w:link w:val="Heading1Char"/>
    <w:qFormat/>
    <w:rsid w:val="00744C5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744C51"/>
    <w:rPr>
      <w:rFonts w:ascii="Arial" w:eastAsia="Times New Roman" w:hAnsi="Arial" w:cs="Times New Roman"/>
      <w:sz w:val="36"/>
      <w:szCs w:val="20"/>
      <w:lang w:val="en-GB"/>
    </w:rPr>
  </w:style>
  <w:style w:type="paragraph" w:customStyle="1" w:styleId="TAH">
    <w:name w:val="TAH"/>
    <w:basedOn w:val="TAC"/>
    <w:link w:val="TAHCar"/>
    <w:rsid w:val="00744C51"/>
    <w:rPr>
      <w:b/>
    </w:rPr>
  </w:style>
  <w:style w:type="paragraph" w:customStyle="1" w:styleId="TAC">
    <w:name w:val="TAC"/>
    <w:basedOn w:val="Normal"/>
    <w:link w:val="TACChar"/>
    <w:rsid w:val="00744C51"/>
    <w:pPr>
      <w:keepNext/>
      <w:keepLines/>
      <w:spacing w:after="0"/>
      <w:jc w:val="center"/>
    </w:pPr>
    <w:rPr>
      <w:rFonts w:ascii="Arial" w:hAnsi="Arial"/>
      <w:sz w:val="18"/>
    </w:rPr>
  </w:style>
  <w:style w:type="paragraph" w:customStyle="1" w:styleId="TH">
    <w:name w:val="TH"/>
    <w:basedOn w:val="Normal"/>
    <w:link w:val="THChar"/>
    <w:rsid w:val="00744C51"/>
    <w:pPr>
      <w:keepNext/>
      <w:keepLines/>
      <w:spacing w:before="60"/>
      <w:jc w:val="center"/>
    </w:pPr>
    <w:rPr>
      <w:rFonts w:ascii="Arial" w:hAnsi="Arial"/>
      <w:b/>
    </w:rPr>
  </w:style>
  <w:style w:type="character" w:customStyle="1" w:styleId="THChar">
    <w:name w:val="TH Char"/>
    <w:link w:val="TH"/>
    <w:rsid w:val="00744C51"/>
    <w:rPr>
      <w:rFonts w:ascii="Arial" w:hAnsi="Arial"/>
      <w:b/>
      <w:lang w:val="en-US"/>
    </w:rPr>
  </w:style>
  <w:style w:type="character" w:customStyle="1" w:styleId="TACChar">
    <w:name w:val="TAC Char"/>
    <w:link w:val="TAC"/>
    <w:locked/>
    <w:rsid w:val="00744C51"/>
    <w:rPr>
      <w:rFonts w:ascii="Arial" w:hAnsi="Arial"/>
      <w:sz w:val="18"/>
      <w:lang w:val="en-US"/>
    </w:rPr>
  </w:style>
  <w:style w:type="character" w:customStyle="1" w:styleId="TAHCar">
    <w:name w:val="TAH Car"/>
    <w:link w:val="TAH"/>
    <w:rsid w:val="00744C51"/>
    <w:rPr>
      <w:rFonts w:ascii="Arial" w:hAnsi="Arial"/>
      <w:b/>
      <w:sz w:val="18"/>
      <w:lang w:val="en-US"/>
    </w:rPr>
  </w:style>
  <w:style w:type="paragraph" w:styleId="Header">
    <w:name w:val="header"/>
    <w:basedOn w:val="Normal"/>
    <w:link w:val="HeaderChar"/>
    <w:uiPriority w:val="99"/>
    <w:unhideWhenUsed/>
    <w:rsid w:val="0071538F"/>
    <w:pPr>
      <w:tabs>
        <w:tab w:val="center" w:pos="4703"/>
        <w:tab w:val="right" w:pos="9406"/>
      </w:tabs>
      <w:spacing w:after="0" w:line="240" w:lineRule="auto"/>
    </w:pPr>
  </w:style>
  <w:style w:type="character" w:customStyle="1" w:styleId="HeaderChar">
    <w:name w:val="Header Char"/>
    <w:basedOn w:val="DefaultParagraphFont"/>
    <w:link w:val="Header"/>
    <w:uiPriority w:val="99"/>
    <w:rsid w:val="0071538F"/>
    <w:rPr>
      <w:lang w:val="en-US"/>
    </w:rPr>
  </w:style>
  <w:style w:type="paragraph" w:styleId="Footer">
    <w:name w:val="footer"/>
    <w:basedOn w:val="Normal"/>
    <w:link w:val="FooterChar"/>
    <w:uiPriority w:val="99"/>
    <w:unhideWhenUsed/>
    <w:rsid w:val="0071538F"/>
    <w:pPr>
      <w:tabs>
        <w:tab w:val="center" w:pos="4703"/>
        <w:tab w:val="right" w:pos="9406"/>
      </w:tabs>
      <w:spacing w:after="0" w:line="240" w:lineRule="auto"/>
    </w:pPr>
  </w:style>
  <w:style w:type="character" w:customStyle="1" w:styleId="FooterChar">
    <w:name w:val="Footer Char"/>
    <w:basedOn w:val="DefaultParagraphFont"/>
    <w:link w:val="Footer"/>
    <w:uiPriority w:val="99"/>
    <w:rsid w:val="0071538F"/>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3549D-845A-496D-850F-20E467E3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Sony Mobile Communications</Company>
  <LinksUpToDate>false</LinksUpToDate>
  <CharactersWithSpaces>6105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Zander, Olof</dc:creator>
  <cp:keywords/>
  <dc:description/>
  <cp:lastModifiedBy>Zander, Olof</cp:lastModifiedBy>
  <cp:revision>2</cp:revision>
  <dcterms:created xsi:type="dcterms:W3CDTF">2018-11-02T18:19:00Z</dcterms:created>
  <dcterms:modified xsi:type="dcterms:W3CDTF">2018-11-02T18:19:00Z</dcterms:modified>
</cp:coreProperties>
</file>